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Book Antiqua" w:hAnsi="Book Antiqua"/>
          <w:b/>
          <w:sz w:val="20"/>
          <w:szCs w:val="20"/>
        </w:rPr>
        <w:t>Statut Fundacji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Book Antiqua" w:hAnsi="Book Antiqua"/>
          <w:b/>
          <w:sz w:val="20"/>
          <w:szCs w:val="20"/>
        </w:rPr>
        <w:t>„</w:t>
      </w:r>
      <w:r>
        <w:rPr>
          <w:rFonts w:eastAsia="Times New Roman" w:cs="Times New Roman" w:ascii="Book Antiqua" w:hAnsi="Book Antiqua"/>
          <w:b/>
          <w:sz w:val="20"/>
          <w:szCs w:val="20"/>
        </w:rPr>
        <w:t>URBO”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Book Antiqua" w:hAnsi="Book Antiqua"/>
          <w:b/>
          <w:sz w:val="20"/>
          <w:szCs w:val="20"/>
        </w:rPr>
        <w:t>z dnia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  <w:t xml:space="preserve">tekst jednolity z dnia  </w:t>
      </w:r>
      <w:r>
        <w:rPr>
          <w:rFonts w:eastAsia="Times New Roman" w:cs="Times New Roman" w:ascii="Book Antiqua" w:hAnsi="Book Antiqua"/>
          <w:sz w:val="20"/>
          <w:szCs w:val="20"/>
        </w:rPr>
        <w:t xml:space="preserve">22 </w:t>
      </w:r>
      <w:r>
        <w:rPr>
          <w:rFonts w:eastAsia="Times New Roman" w:cs="Times New Roman" w:ascii="Book Antiqua" w:hAnsi="Book Antiqua"/>
          <w:sz w:val="20"/>
          <w:szCs w:val="20"/>
        </w:rPr>
        <w:t>maja 2022 r.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  <w:br/>
      </w:r>
      <w:r>
        <w:rPr>
          <w:rFonts w:eastAsia="Times New Roman" w:cs="Times New Roman" w:ascii="Book Antiqua" w:hAnsi="Book Antiqua"/>
          <w:b/>
          <w:bCs/>
          <w:sz w:val="20"/>
          <w:szCs w:val="20"/>
        </w:rPr>
        <w:t>I. POSTANOWIENIA OGÓLNE</w:t>
      </w:r>
    </w:p>
    <w:p>
      <w:pPr>
        <w:pStyle w:val="Standard"/>
        <w:spacing w:lineRule="auto" w:line="360" w:before="0" w:after="0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§1</w:t>
      </w:r>
    </w:p>
    <w:p>
      <w:pPr>
        <w:pStyle w:val="Standard"/>
        <w:spacing w:lineRule="auto" w:line="360" w:before="0" w:after="0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</w:r>
    </w:p>
    <w:p>
      <w:pPr>
        <w:pStyle w:val="Default"/>
        <w:spacing w:lineRule="auto" w:line="360"/>
        <w:jc w:val="both"/>
        <w:rPr>
          <w:rFonts w:ascii="Book Antiqua" w:hAnsi="Book Antiqua"/>
        </w:rPr>
      </w:pPr>
      <w:r>
        <w:rPr>
          <w:rFonts w:eastAsia="Times New Roman" w:cs="Times New Roman" w:ascii="Book Antiqua" w:hAnsi="Book Antiqua"/>
          <w:sz w:val="20"/>
          <w:szCs w:val="20"/>
        </w:rPr>
        <w:t xml:space="preserve">Stawiająca/y </w:t>
      </w:r>
      <w:r>
        <w:rPr>
          <w:rFonts w:eastAsia="Times New Roman" w:cs="Times New Roman" w:ascii="Book Antiqua" w:hAnsi="Book Antiqua"/>
          <w:color w:val="000000"/>
          <w:kern w:val="0"/>
          <w:sz w:val="20"/>
          <w:szCs w:val="20"/>
          <w:lang w:val="pl-PL" w:eastAsia="pl-PL" w:bidi="ar-SA"/>
        </w:rPr>
        <w:t xml:space="preserve">Marcin Zemła </w:t>
      </w:r>
      <w:r>
        <w:rPr>
          <w:rFonts w:eastAsia="Times New Roman" w:cs="Times New Roman" w:ascii="Book Antiqua" w:hAnsi="Book Antiqua"/>
          <w:sz w:val="20"/>
          <w:szCs w:val="20"/>
        </w:rPr>
        <w:t xml:space="preserve">jako osoba upoważniona do reprezentowania Spółki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  <w:sz w:val="20"/>
          <w:szCs w:val="20"/>
        </w:rPr>
        <w:t xml:space="preserve">INFORMATICS Sp. z o.o. z siedzibą w Jaworznie </w:t>
      </w:r>
      <w:r>
        <w:rPr>
          <w:rFonts w:eastAsia="Times New Roman" w:cs="Times New Roman" w:ascii="Book Antiqua" w:hAnsi="Book Antiqua"/>
          <w:sz w:val="20"/>
          <w:szCs w:val="20"/>
        </w:rPr>
        <w:t xml:space="preserve">zwana w dalszej części niniejszego aktu „Fundatorem”, oświadcza, że ustanawia fundację pod nazwą: </w:t>
      </w:r>
      <w:r>
        <w:rPr>
          <w:rFonts w:eastAsia="Times New Roman" w:cs="Times New Roman" w:ascii="Book Antiqua" w:hAnsi="Book Antiqua"/>
          <w:b/>
          <w:sz w:val="20"/>
          <w:szCs w:val="20"/>
        </w:rPr>
        <w:t>„URBO”</w:t>
      </w:r>
      <w:r>
        <w:rPr>
          <w:rFonts w:eastAsia="Times New Roman" w:cs="Times New Roman" w:ascii="Book Antiqua" w:hAnsi="Book Antiqua"/>
          <w:sz w:val="20"/>
          <w:szCs w:val="20"/>
        </w:rPr>
        <w:t xml:space="preserve"> zwaną dalej „Fundacją”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§2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Fundacja posiada osobowość prawną.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§3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  <w:t>1. Terenem działania Fundacji jest obszar Rzeczpospolitej Polskiej.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  <w:t xml:space="preserve">2. Siedzibą Fundacji jest miasto </w:t>
      </w:r>
      <w:r>
        <w:rPr>
          <w:rFonts w:eastAsia="Times New Roman" w:cs="Times New Roman" w:ascii="Book Antiqua" w:hAnsi="Book Antiqua"/>
          <w:b/>
          <w:sz w:val="20"/>
          <w:szCs w:val="20"/>
        </w:rPr>
        <w:t>Jaworzno</w:t>
      </w:r>
      <w:r>
        <w:rPr>
          <w:rFonts w:eastAsia="Times New Roman" w:cs="Times New Roman" w:ascii="Book Antiqua" w:hAnsi="Book Antiqua"/>
          <w:sz w:val="20"/>
          <w:szCs w:val="20"/>
        </w:rPr>
        <w:t>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  <w:t>3. Dla właściwego realizowania celów Fundacja może prowadzić działalność poza granicami Rzeczpospolitej Polskiej.</w:t>
      </w:r>
    </w:p>
    <w:p>
      <w:pPr>
        <w:pStyle w:val="Standard"/>
        <w:spacing w:lineRule="auto" w:line="360" w:before="0" w:after="0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§4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  <w:t>Fundacja została powołana na czas nieokreślony.</w:t>
      </w:r>
    </w:p>
    <w:p>
      <w:pPr>
        <w:pStyle w:val="Standard"/>
        <w:spacing w:lineRule="auto" w:line="360" w:before="0" w:after="0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rPr>
          <w:rFonts w:ascii="Book Antiqua" w:hAnsi="Book Antiqua" w:eastAsia="Times New Roman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§5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1. Ministrem właściwym ze względu na zakres swojej działalności oraz cele Fundacji jest Minister ds. Edukacji i Nauki.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2. Fundacja składa właściwemu ministrowi coroczne sprawozdanie ze swojej działalności za ubiegły rok kalendarzowy.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§6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Fundacja opiera swoją działalność na pracy społecznej Fundatora i wolontariuszy.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Fundacja może zatrudniać pracowników.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§7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1. Fundacja może tworzyć oddziały, zakłady, filie, a także przystępować do spółek i fundacji.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2. Fundacja może być członkiem międzynarodowych stowarzyszeń i sieci współpracy zrzeszających organizacje o zbliżonych celach.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3. Dla osiągnięcia swoich celów statutowych Fundacja może wspierać działalność innych osób prawnych i fizycznych.</w:t>
      </w:r>
    </w:p>
    <w:p>
      <w:pPr>
        <w:pStyle w:val="Standard"/>
        <w:spacing w:lineRule="auto" w:line="360" w:before="0" w:after="0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§8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1. Fundacja posługuje się pieczęcią z oznaczeniem nazwy i siedziby Fundacji.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2. Fundacja może używać znaku graficznego z napisem wskazującym jej nazwę lub zawierającym główne cele, bądź cel fundacji.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3. Fundacja może dla celów współpracy z zagranicą, posługiwać się tłumaczeniem nazwy w wybranych językach obcych.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§9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Fundacja może ustanawiać ordery, medale, odznaki i inne odznaczenia oraz godności honorowe wraz z nagrodami i wyróżnieniami osobom fizycznym, osobom prawym i jednostkom organizacyjnym nieposiadającym osobowości prawej, zasłużonym dla celów obranych przez fundację.</w:t>
      </w:r>
    </w:p>
    <w:p>
      <w:pPr>
        <w:pStyle w:val="Standard"/>
        <w:spacing w:lineRule="auto" w:line="360" w:before="0" w:after="0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II. CELE FUNDACJI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§10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Celami Fundacji są: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wspieranie osób szczególnie uzdolnionych, nie mogących realizować swoich przedsięwzięć z uwagi na niedostatek środków finansowych</w:t>
      </w:r>
      <w:r>
        <w:rPr>
          <w:rFonts w:cs="Times New Roman" w:ascii="Book Antiqua" w:hAnsi="Book Antiqua"/>
          <w:sz w:val="20"/>
          <w:szCs w:val="20"/>
        </w:rPr>
        <w:t xml:space="preserve"> </w:t>
      </w:r>
      <w:r>
        <w:rPr>
          <w:rFonts w:cs="Times New Roman" w:ascii="Book Antiqua" w:hAnsi="Book Antiqua"/>
          <w:sz w:val="20"/>
          <w:szCs w:val="20"/>
        </w:rPr>
        <w:t xml:space="preserve">podczas pełnego okresu ich edukacji; </w:t>
      </w:r>
    </w:p>
    <w:p>
      <w:pPr>
        <w:pStyle w:val="Ola2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360"/>
        <w:rPr/>
      </w:pPr>
      <w:r>
        <w:rPr>
          <w:rFonts w:ascii="Book Antiqua" w:hAnsi="Book Antiqua"/>
          <w:sz w:val="20"/>
        </w:rPr>
        <w:t xml:space="preserve">niesienie pomocy dzieciom szczególnie uzdolnionym, znajdującym się w trudnej sytuacji materialnej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/>
      </w:pPr>
      <w:r>
        <w:rPr>
          <w:rFonts w:ascii="Book Antiqua" w:hAnsi="Book Antiqua"/>
          <w:sz w:val="20"/>
          <w:szCs w:val="20"/>
        </w:rPr>
        <w:t>udzielanie pomocy placówkom wychowawczym, oświatowym i opiekuńczym,</w:t>
      </w:r>
      <w:r>
        <w:rPr>
          <w:rFonts w:cs="Times New Roman" w:ascii="Book Antiqua" w:hAnsi="Book Antiqua"/>
          <w:sz w:val="20"/>
          <w:szCs w:val="20"/>
        </w:rPr>
        <w:t xml:space="preserve"> także w formie przyznawanych stypendiów;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wspieranie relacji wspólnotowych w społeczeństwie poprzez ich budowanie i integrację społeczną,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zakładanie i prowadzenie ośrodków interwencji, terapeutycznych, profilaktycznych, doradczych, świetlic środowiskowych dla dzieci i osób dorosłych,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prowadzenie zajęć mających na celu integrację społeczną w danym środowisku społecznym,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działania mające na celu ochronę środowiska;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działania na rzecz ochrony i promocji zdrowia;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działania na rzecz integracji i reintegracji zawodowej osób zagrożonych wykluczeniem </w:t>
      </w:r>
    </w:p>
    <w:p>
      <w:pPr>
        <w:pStyle w:val="ListParagraph"/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społecznym;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aktywizacja osób pełnosprawnych na rzecz środowiska osób z niepełnosprawnością i podejmowanie działań integracyjnych w tym zakresie;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działania promujące ideę pobudzania i wyzwalania inicjatyw mających na celu integrację i reintegrację społeczną;</w:t>
      </w:r>
    </w:p>
    <w:p>
      <w:pPr>
        <w:pStyle w:val="Normal"/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§11</w:t>
      </w:r>
    </w:p>
    <w:p>
      <w:pPr>
        <w:pStyle w:val="ListParagraph"/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Fundacja cele statutowe realizuje poprzez: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zbiórkę żywności i innych rzeczy materialnych niezbędnych do życia;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organizowanie i wspieranie akcji charytatywnych;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forum umożliwiającego rozwoju, popularyzację i wspieranie celów oraz ideałów, którym służy Fundacja;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współpracę z osobami fizycznymi, przedstawicielami firm prywatnych, organizacjami i instytucjami państwowymi na rzecz działań fundacji;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współprace z władzami samorządowymi;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organizowanie imprez okolicznościowych;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aukcje;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działania propagatorskie i informacyjne w zakresie służącym realizacji celów Fundacji;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gromadzenie środków finansowych i rzeczowych z przeznaczeniem na działania Fundacji;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organizowanie zbiórek pieniędzy na realizację celów statutowych;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realizację innych działań zgodnych z celami Fundacji, wynikających z potrzeb innych ludzi;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pomoc specjalistów (prawnik, psycholog, psychiatra, mediator i innych niezbędnych dla potrzeb działania Fundacji);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realizację projektów.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Dla osiągnięcia swych celów Fundacja może wspierać działania innych osób i instytucji zbieżnych z jej celami statutowymi.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cs="Times New Roman"/>
          <w:b/>
          <w:b/>
          <w:sz w:val="20"/>
          <w:szCs w:val="20"/>
        </w:rPr>
      </w:pPr>
      <w:r>
        <w:rPr>
          <w:rFonts w:cs="Times New Roman" w:ascii="Book Antiqua" w:hAnsi="Book Antiqua"/>
          <w:b/>
          <w:sz w:val="20"/>
          <w:szCs w:val="20"/>
        </w:rPr>
      </w:r>
    </w:p>
    <w:p>
      <w:pPr>
        <w:pStyle w:val="Standard"/>
        <w:spacing w:lineRule="auto" w:line="360"/>
        <w:jc w:val="center"/>
        <w:rPr>
          <w:rFonts w:ascii="Book Antiqua" w:hAnsi="Book Antiqua" w:cs="Times New Roman"/>
          <w:b/>
          <w:b/>
          <w:sz w:val="20"/>
          <w:szCs w:val="20"/>
        </w:rPr>
      </w:pPr>
      <w:r>
        <w:rPr>
          <w:rFonts w:cs="Times New Roman" w:ascii="Book Antiqua" w:hAnsi="Book Antiqua"/>
          <w:b/>
          <w:sz w:val="20"/>
          <w:szCs w:val="20"/>
        </w:rPr>
        <w:t>III. MAJĄTEK I DOCHODY FUNDACJI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§12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Majątek Fundacji stanowi fundusz założycielski, na który składa się wkład pieniężny przekazany przez Fundatora, w kwocie</w:t>
      </w:r>
      <w:r>
        <w:rPr>
          <w:rFonts w:cs="Times New Roman" w:ascii="Book Antiqua" w:hAnsi="Book Antiqua"/>
          <w:color w:val="000000"/>
          <w:sz w:val="20"/>
          <w:szCs w:val="20"/>
        </w:rPr>
        <w:t xml:space="preserve"> </w:t>
      </w:r>
      <w:r>
        <w:rPr>
          <w:rFonts w:cs="Times New Roman" w:ascii="Book Antiqua" w:hAnsi="Book Antiqua"/>
          <w:color w:val="000000"/>
          <w:sz w:val="20"/>
          <w:szCs w:val="20"/>
        </w:rPr>
        <w:t>52</w:t>
      </w:r>
      <w:r>
        <w:rPr>
          <w:rFonts w:cs="Times New Roman" w:ascii="Book Antiqua" w:hAnsi="Book Antiqua"/>
          <w:color w:val="000000"/>
          <w:sz w:val="20"/>
          <w:szCs w:val="20"/>
        </w:rPr>
        <w:t>00,00 zł (tysiąc złotych).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Majątek Fundacji stanowią też środki finansowe, nieruchomości i ruchomości nabyte w toku jej działalności.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Fundusz założycielski jest przeznaczony na prowadzenie działalności statutowej.</w:t>
      </w:r>
    </w:p>
    <w:p>
      <w:pPr>
        <w:pStyle w:val="Standard"/>
        <w:spacing w:lineRule="auto" w:line="360" w:before="0" w:after="0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§13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1. Dochody Fundacji pochodzą w szczególności z:</w:t>
      </w:r>
    </w:p>
    <w:p>
      <w:pPr>
        <w:pStyle w:val="ListParagraph"/>
        <w:numPr>
          <w:ilvl w:val="0"/>
          <w:numId w:val="13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 xml:space="preserve"> </w:t>
      </w:r>
      <w:r>
        <w:rPr>
          <w:rFonts w:cs="Times New Roman" w:ascii="Book Antiqua" w:hAnsi="Book Antiqua"/>
          <w:sz w:val="20"/>
          <w:szCs w:val="20"/>
        </w:rPr>
        <w:t>darowizn, spadków, zapisów,</w:t>
      </w:r>
    </w:p>
    <w:p>
      <w:pPr>
        <w:pStyle w:val="ListParagraph"/>
        <w:numPr>
          <w:ilvl w:val="0"/>
          <w:numId w:val="14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dotacji, dofinansowań, subwencji i grantów,</w:t>
      </w:r>
    </w:p>
    <w:p>
      <w:pPr>
        <w:pStyle w:val="ListParagraph"/>
        <w:numPr>
          <w:ilvl w:val="0"/>
          <w:numId w:val="15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dochodów ze zbiórek publicznych, przy czym przez zbiórki publiczne rozumie się zbiórki publiczne w rozumieniu ustawy o zasadach prowadzenia zbiórek publicznych,</w:t>
      </w:r>
    </w:p>
    <w:p>
      <w:pPr>
        <w:pStyle w:val="ListParagraph"/>
        <w:numPr>
          <w:ilvl w:val="0"/>
          <w:numId w:val="16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dochodów ze sponsoringu, aukcji, loterii, imprez publicznych organizowanych przez Fundację lub na jej rzecz, </w:t>
      </w:r>
    </w:p>
    <w:p>
      <w:pPr>
        <w:pStyle w:val="ListParagraph"/>
        <w:numPr>
          <w:ilvl w:val="0"/>
          <w:numId w:val="17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odsetek bankowych i innych dochodów kapitałowych.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§14</w:t>
      </w:r>
    </w:p>
    <w:p>
      <w:pPr>
        <w:pStyle w:val="Standard"/>
        <w:spacing w:lineRule="auto" w:line="360" w:before="0" w:after="0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numPr>
          <w:ilvl w:val="3"/>
          <w:numId w:val="18"/>
        </w:numPr>
        <w:spacing w:lineRule="auto" w:line="360" w:before="0" w:after="0"/>
        <w:ind w:left="709" w:hanging="36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Dochody Fundacji pochodzące z darowizn, spadków, zapisów oraz subwencji mogą być użyte do realizacji celów Fundacji według swobodnego uznania Zarządu, o ile ofiarodawcy nie postanowili inaczej.</w:t>
      </w:r>
    </w:p>
    <w:p>
      <w:pPr>
        <w:pStyle w:val="Standard"/>
        <w:numPr>
          <w:ilvl w:val="3"/>
          <w:numId w:val="19"/>
        </w:numPr>
        <w:spacing w:lineRule="auto" w:line="360" w:before="0" w:after="0"/>
        <w:ind w:left="709" w:hanging="36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Dochody ze zbiórek i imprez publicznych mogą być wykorzystywane tylko zgodnie z podanym publicznie celem.</w:t>
      </w:r>
    </w:p>
    <w:p>
      <w:pPr>
        <w:pStyle w:val="Standard"/>
        <w:numPr>
          <w:ilvl w:val="3"/>
          <w:numId w:val="20"/>
        </w:numPr>
        <w:spacing w:lineRule="auto" w:line="360" w:before="0" w:after="0"/>
        <w:ind w:left="709" w:hanging="36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W przypadku powołania fundacji do dziedziczenia, osoba powołana składa oświadczenie o przejęciu spadku wprost bądź z dobrodziejstwem inwentarza i to tylko wtedy, gdy w chwili składania tego oświadczenia jest oczywiste, że stan czynny spadku znacznie przewyższa długi spadkowe.</w:t>
      </w:r>
    </w:p>
    <w:p>
      <w:pPr>
        <w:pStyle w:val="Standard"/>
        <w:spacing w:lineRule="auto" w:line="360" w:before="0" w:after="0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§15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numPr>
          <w:ilvl w:val="0"/>
          <w:numId w:val="6"/>
        </w:numPr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Fundacja prowadzi gospodarkę finansową i księgi rachunkowe na zasadach określonych przepisami prawa.</w:t>
      </w:r>
    </w:p>
    <w:p>
      <w:pPr>
        <w:pStyle w:val="Standard"/>
        <w:numPr>
          <w:ilvl w:val="0"/>
          <w:numId w:val="6"/>
        </w:numPr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Zakłady i oddziały Fundacji sporządzają sprawozdania finansowe, stanowiące załącznik do sprawozdania finansowego Fundacji.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§16</w:t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Standard"/>
        <w:spacing w:lineRule="auto" w:line="360" w:before="0" w:after="0"/>
        <w:jc w:val="both"/>
        <w:rPr>
          <w:rFonts w:ascii="Book Antiqua" w:hAnsi="Book Antiqua" w:eastAsia="Times New Roman" w:cs="Times New Roman"/>
          <w:bCs/>
          <w:sz w:val="20"/>
          <w:szCs w:val="20"/>
        </w:rPr>
      </w:pPr>
      <w:r>
        <w:rPr>
          <w:rFonts w:eastAsia="Times New Roman" w:cs="Times New Roman" w:ascii="Book Antiqua" w:hAnsi="Book Antiqua"/>
          <w:bCs/>
          <w:sz w:val="20"/>
          <w:szCs w:val="20"/>
        </w:rPr>
        <w:t>Fundacja działa na podstawie ustalonego przez Fundatora statutu oraz na podstawie ustawy z dnia 6 kwietnia 1984 roku o fundacjach (tekst jednolity Dz. U. z 2018 roku, poz. 1491 t.j).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  <w:t>IV. ORGANY FUNDACJI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17</w:t>
      </w:r>
    </w:p>
    <w:p>
      <w:pPr>
        <w:pStyle w:val="Standard"/>
        <w:spacing w:lineRule="auto" w:line="360" w:before="0" w:after="0"/>
        <w:jc w:val="center"/>
        <w:rPr>
          <w:rFonts w:ascii="Book Antiqua" w:hAnsi="Book Antiqu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Book Antiqua" w:hAnsi="Book Antiqua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Organami Fundacji są: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Zarząd Fundacji.</w:t>
      </w:r>
      <w:bookmarkStart w:id="0" w:name="_Hlk34064931"/>
      <w:bookmarkEnd w:id="0"/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18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Każdemu członkowi organu Fundacji przysługuje 1 głos.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Fundacja może ustanowić prokurę, przy czym prokurent nie należy do organów Fundacji.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FUNDATOR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19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Fundator może jednomyślną decyzją powoływać i odwoływać osoby wchodzące w skład Zarządu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Fundator może działać osobiście albo przez pełnomocnika.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20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Fundator może podejmować uchwały.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Fundator może ustanowić regulamin swojego działania.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Fundator może być jednocześnie prezesem lub członkiem zarządu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4. Fundator może być jednocześnie prokurentem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21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Fundator jest uprawniony do: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określania kierunków oraz planów działalności statutowej i gospodarczej Fundacji;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doradzania Zarządowi Fundacji;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3. reprezentacji Fundacji w sporze z członkiem Zarządu Fundacji lub podejmowania z nim czynności prawnych; 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4. reprezentacji Fundacji przy zawieraniu umowy z członkiem Zarządu Fundacji, w tym umowy o pracę, 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5. podejmowania uchwał w przedmiocie wynagrodzenia członków Zarządu Fundacji;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6. podejmowania uchwał w przedmiocie likwidacji Fundacji lub jej połączenia z inną Fundacją;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7. podejmowania uchwał w przedmiocie podziału majątku Fundacji pozostałego po likwidacji.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Zarząd Fundacji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22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W skład Zarządu Fundacji wchodzi od 1 do 5 członków, w tym Prezes Zarządu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W skład członków zarządu może wchodzić Fundator.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Zarząd Fundacji powoływany jest przez Fundatora.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4. Kadencja Zarządu Fundacji trwa 5 lat.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5. Członkiem Zarządu Fundacji nie może być osoba, która została skazana prawomocnym wyrokiem za przestępstwo umyślne ścigane z oskarżenia publicznego lub przestępstwo skarbowe. 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6. Fundator powołuje Prezesa Zarządu Fundacji i pozostałych członków zarządu.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7. Członkom Zarządu Fundacji może przysługiwać wynagrodzenie za pełnioną funkcję. Fundacja może zawrzeć z członkiem Zarządu Fundacji umowę o pracę, kontrakt menadżerski, bądź inną umowę, na podstawie której przyznane zostanie mu wynagrodzenie. O wysokości wynagrodzenia członków zarządu decyduje Fundator. W przypadku pełnienia funkcji bez wynagrodzenia, członkom Zarządu Fundacji przysługuje zwrot uzasadnionych wydatków związanych ze sprawowaną funkcją.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23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Członkostwo w Zarządzie Fundacji ustaje z chwilą:</w:t>
      </w:r>
    </w:p>
    <w:p>
      <w:pPr>
        <w:pStyle w:val="ListParagraph"/>
        <w:numPr>
          <w:ilvl w:val="0"/>
          <w:numId w:val="7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pisemnej rezygnacji złożonej Prezesowi Zarządu Fundacji, a w przypadku Prezesa Zarządu Fundacji – Fundatorowi; w przypadku gdy fundator jest jednocześnie członkiem zarządu Fundacji składa on rezygnację innemu członkowi zarządu Fundacji,</w:t>
      </w:r>
    </w:p>
    <w:p>
      <w:pPr>
        <w:pStyle w:val="ListParagraph"/>
        <w:numPr>
          <w:ilvl w:val="0"/>
          <w:numId w:val="7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śmierci członka Zarządu Fundacji;</w:t>
      </w:r>
    </w:p>
    <w:p>
      <w:pPr>
        <w:pStyle w:val="ListParagraph"/>
        <w:numPr>
          <w:ilvl w:val="0"/>
          <w:numId w:val="7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odwołania przez Fundatora na podstawie uchwały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Fundator w ciągu miesiąca od dnia zmniejszenia się liczebności Zarządu Fundacji uzupełnia jego skład do stanu zgodnego ze Statutem.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24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Zarząd Fundacji podejmuje uchwały zwykłą większością głosów, chyba że Statut stanowi inaczej.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Uchwały mogą być powzięte, jeżeli wszyscy członkowie Zarządu Fundacji zostali zaproszeni na posiedzenie i obecna jest większość z nich.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W sytuacji równej ilości głosów, decyduje głos Prezesa Zarządu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Zarząd Fundacji może ustanowić regulamin swojego działania.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25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Posiedzenia Zarządu Fundacji zwołuje Prezes Zarządu Fundacji z własnej inicjatywy, na wniosek członka Zarządu Fundacji lub na wniosek Fundatora.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Zwołanie Zarządu Fundacji następuje poprzez zawiadomienie przez Prezesa Zarządu Fundacji wszystkich pozostałych członków Zarządu Fundacji. Postanowienie to nie ma zastosowania, jeżeli zarząd jest jednoosobowy.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Zawiadomienie następuje w formie elektronicznej za pośrednictwem wiadomości e-mailowej. W zawiadomieniu wskazuje się termin posiedzenia Zarządu Fundacji oraz jego miejsce. Zawiadomienie wysyła się z wyprzedzeniem co najmniej dwóch tygodni. Postanowienie to nie ma zastosowania, jeżeli zarząd jest jednoosobowy.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4. Posiedzenie Zarządu Fundacji może odbywać się za pomocą środków komunikacji elektronicznej (na odległość).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5. Posiedzenia Zarządu Fundacji odbywają się przynajmniej raz na kwartał.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6. Fundator jest uprawniony do uczestnictwa, bez prawa głosu, na zgromadzeniach Zarządu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26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Zarząd Fundacji jest organem wykonawczym Fundacji odpowiedzialnym za realizację jej celów statutowych oraz za prawidłowość i celowość (racjonalność) działań podejmowanych przez Fundację.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Zarząd Fundacji powołany jest do kierowania całą działalnością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Zarząd Fundacji może zaciągać zobowiązania do wysokości 1 000 000 zł. Przy zobowiązaniach przekraczających tę kwotę wymagana jest zgoda Fundatora wyrażona w drodze uchwały.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27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Zarząd Fundacji jest uprawniony do: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kierowania bieżącą działalnością statutową i gospodarczą Fundacji;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reprezentacji Fundacji na zewnątrz;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decydowania o zakresie i sposobach realizacji celów Fundacji;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wykonywania uchwał oraz programów działania Fundacji;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zarządzania majątkiem Fundacji;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powoływania pełnomocnika lub pełnomocników do kierowania wyodrębnioną sferą spraw lub zadań Fundacji;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tworzenia wewnętrznych regulaminów organizacyjnych Fundacji;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uchwalania rocznych i wieloletnich programów działania Fundacji,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ustalania wielkości zatrudnienia, zasad wynagradzania oraz wysokości środków na wynagrodzenia dla pracowników Fundacji oraz osób współpracujących z Fundacją na podstawie umów cywilno-prawnych;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zatrudniania pracowników oraz innych osób współpracujących z Fundacją </w:t>
        <w:br/>
        <w:t>na podstawie umów cywilno-prawnych, w tym wolontariuszy;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przyjmowania darowizn, spadków, zapisów, subwencji, dotacji oraz grantów;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podejmowania uchwał o nabywaniu, zbywaniu lub obciążaniu majątku Fundacji; 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sporządzania rocznego sprawozdania finansowego Fundacji wymaganego przepisami prawa i zgodnego z ustawą o fundacjach oraz podawanie sprawozdania do publicznej wiadomości poprzez jego publikację na stronie internetowej Fundacji;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sporządzania i składania właściwemu Ministrowi sprawozdania z działalności Fundacji za każdy rok;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realizacji szczególnych decyzji darczyńców, o ile nie są one sprzeczne z celami Fundacji lub z postanowieniami niniejszego Statutu;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wnioskowania do Fundatorów w przedmiocie zmiany Statutu, połączenia się z inną Fundacją lub likwidacją Fundacji;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przyznawania odznaczeń i medali honorowych;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powoływania i odwoływania likwidatorów Fundacji;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podejmowania decyzji związanych z prowadzoną przez Fundację działalnością we wszystkich sprawach nie przekazanych do kompetencji innych organów Fundacji,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podejmowania uchwała w przedmiocie powołania prokurenta. 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28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W skład pierwszego Zarządu Fundacji wchodzi: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360" w:before="0" w:after="0"/>
        <w:contextualSpacing/>
        <w:jc w:val="both"/>
        <w:textAlignment w:val="auto"/>
        <w:rPr/>
      </w:pPr>
      <w:r>
        <w:rPr>
          <w:rFonts w:cs="Times New Roman" w:ascii="Book Antiqua" w:hAnsi="Book Antiqua"/>
          <w:sz w:val="20"/>
          <w:szCs w:val="20"/>
        </w:rPr>
        <w:t>Marcin Zemła - jako Prezes Zarządu Fundacji.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360" w:before="0" w:after="0"/>
        <w:contextualSpacing/>
        <w:jc w:val="both"/>
        <w:textAlignment w:val="auto"/>
        <w:rPr/>
      </w:pPr>
      <w:r>
        <w:rPr>
          <w:rFonts w:cs="Times New Roman" w:ascii="Book Antiqua" w:hAnsi="Book Antiqua"/>
          <w:sz w:val="20"/>
          <w:szCs w:val="20"/>
        </w:rPr>
        <w:t>Patrycja Hładoń – jako Członek Zarządu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Reprezentacja Fundacji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29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Do reprezentacji Fundacji i składania w jej imieniu oświadczeń woli uprawnieni są: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Prezes Zarządu lub członek zarządu Fundacji działający samodzielnie.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Do składania oświadczeń woli w imieniu Fundacji przy zaciąganiu zobowiązań uprawniony jest jednoosobowo Prezes Zarządu Fundacji lub członek Zarządu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Zmiana Statutu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30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Zmian w Statucie dokonuje Fundator na podstawie jednomyślnej uchwały.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 Zmiany w Statucie Fundator dokonuje z inicjatywy własnej lub na wniosek Zarządu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Połączenie z inną Fundacją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31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1. Fundacja może połączyć się z inną Fundacją dla efektywnego realizowania swoich celów. 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Połączenie z inną Fundacją nie może nastąpić, jeżeli w wyniku połączenia mógłby ulec istotnej zmianie cel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3. Uchwałę w przedmiocie połączenia Fundacji z inną Fundacją podejmuje Fundator z inicjatywy własnej lub na wniosek Zarządu Fundacji. 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Likwidacja Fundacji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32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Fundacja ulega likwidacji w razie osiągnięcia celów, dla których została ustanowiona lub w razie wyczerpania się jej środków finansowych i majątku.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2. Uchwałę w przedmiocie likwidacji Fundacji podejmuje Fundator na wniosek Zarządu Fundacji. 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33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 xml:space="preserve">1. Po podjęciu uchwały w przedmiocie likwidacji Fundacji, jej likwidatorami są wszyscy członkowie Zarządu Fundacji. 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Członkowie Zarządu Fundacji mogą na powołać na likwidatorów tylko niektórych spośród siebie, jak również osoby spoza swego grona. Uchwała wymaga jednomyślności.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Likwidator może być odwołany w drodze jednomyślnej uchwały Zarządu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4. W przypadku, gdy jest kilku likwidatorów, są oni upoważnieni do reprezentowania Fundacji łącznie, chyba że Zarząd Fundacji postanowił inaczej.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5. W sprawach, w których wymagana jest uchwała likwidatorów, rozstrzyga większość głosów, chyba że Zarząd Fundacji postanowił inaczej.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34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Likwidatorzy powinni zakończyć bieżące działania Fundacji, ściągnąć wierzytelności, wypełnić zobowiązania i upłynnić majątek Fundacji. Nowe działania mogą być podejmowane tylko w przypadku, gdy jest to niezbędne do ukończenia działań w toku.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Likwidatorzy sporządzają bilans na dzień rozpoczęcia i zakończenia likwidacji. O bilansie likwidatorzy informują Fundatora.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W przypadku, gdy likwidacja trwa dłużej niż rok, bilans należy sporządzić na dzień kończący każdy rok. O bilansie likwidatorzy informują Fundatorów.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35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Z majątku Fundacji spłaca się przede wszystkim zobowiązania oraz pozostawia się odpowiednie kwoty na pokrycie zobowiązań niewymagalnych lub spornych.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Pozostały majątek Fundacji wskazuje się Fundatorom celem podjęcia uchwały w jego przedmiocie.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3. Środki finansowe i majątek Fundacji pozostały po likwidacji Fundacji mogą zostać przeznaczone na rzecz działających w Rzeczypospolitej Polskiej instytucji, której działalność jest zbieżna z celami statutowymi Fundacji.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36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Likwidatorzy powinni zgłosić zakończenie likwidacji i złożyć wniosek o wykreślenie Fundacji z rejestru.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Postanowienia końcowe</w:t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Times New Roman"/>
          <w:b/>
          <w:b/>
          <w:bCs/>
          <w:sz w:val="20"/>
          <w:szCs w:val="20"/>
        </w:rPr>
      </w:pPr>
      <w:r>
        <w:rPr>
          <w:rFonts w:cs="Times New Roman" w:ascii="Book Antiqua" w:hAnsi="Book Antiqua"/>
          <w:b/>
          <w:bCs/>
          <w:sz w:val="20"/>
          <w:szCs w:val="20"/>
        </w:rPr>
        <w:t>§ 37</w:t>
      </w:r>
    </w:p>
    <w:p>
      <w:pPr>
        <w:pStyle w:val="Normal"/>
        <w:spacing w:lineRule="auto" w:line="360" w:before="0"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1. Rokiem obrotowym jest rok kalendarzowy. Pierwszy rok obrotowy kończy się 31 grudnia 2022 roku.</w:t>
      </w:r>
    </w:p>
    <w:p>
      <w:pPr>
        <w:pStyle w:val="Normal"/>
        <w:spacing w:lineRule="auto" w:line="360" w:before="0" w:after="0"/>
        <w:jc w:val="both"/>
        <w:rPr>
          <w:rFonts w:ascii="Book Antiqua" w:hAnsi="Book Antiqua"/>
          <w:sz w:val="20"/>
          <w:szCs w:val="20"/>
        </w:rPr>
      </w:pPr>
      <w:r>
        <w:rPr>
          <w:rFonts w:cs="Times New Roman" w:ascii="Book Antiqua" w:hAnsi="Book Antiqua"/>
          <w:sz w:val="20"/>
          <w:szCs w:val="20"/>
        </w:rPr>
        <w:t>2. Statut wchodzi w życie z dniem zarejestrowania Fundacji przez właściwy Sąd Rejestrowy.</w:t>
      </w:r>
    </w:p>
    <w:sectPr>
      <w:footerReference w:type="default" r:id="rId2"/>
      <w:type w:val="nextPage"/>
      <w:pgSz w:w="11906" w:h="16838"/>
      <w:pgMar w:left="1417" w:right="1417" w:header="0" w:top="1134" w:footer="708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Book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0" w:color="D9D9D9"/>
      </w:pBdr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</w:t>
    </w:r>
    <w:r>
      <w:rPr/>
      <w:t xml:space="preserve">| </w:t>
    </w:r>
    <w:r>
      <w:rPr>
        <w:color w:val="7F7F7F"/>
        <w:spacing w:val="60"/>
      </w:rPr>
      <w:t>Strona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1"/>
    <w:lvlOverride w:ilvl="0">
      <w:startOverride w:val="1"/>
    </w:lvlOverride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6ab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lfuvd" w:customStyle="1">
    <w:name w:val="ilfuvd"/>
    <w:basedOn w:val="DefaultParagraphFont"/>
    <w:qFormat/>
    <w:rsid w:val="00cc53bc"/>
    <w:rPr/>
  </w:style>
  <w:style w:type="character" w:styleId="Mocnewyrnione" w:customStyle="1">
    <w:name w:val="Mocne wyróżnione"/>
    <w:basedOn w:val="DefaultParagraphFont"/>
    <w:qFormat/>
    <w:rsid w:val="00cc53bc"/>
    <w:rPr>
      <w:b/>
      <w:bCs/>
    </w:rPr>
  </w:style>
  <w:style w:type="character" w:styleId="NagwekZnak" w:customStyle="1">
    <w:name w:val="Nagłówek Znak"/>
    <w:basedOn w:val="DefaultParagraphFont"/>
    <w:qFormat/>
    <w:rsid w:val="00cc53bc"/>
    <w:rPr/>
  </w:style>
  <w:style w:type="character" w:styleId="StopkaZnak" w:customStyle="1">
    <w:name w:val="Stopka Znak"/>
    <w:basedOn w:val="DefaultParagraphFont"/>
    <w:qFormat/>
    <w:rsid w:val="00cc53bc"/>
    <w:rPr/>
  </w:style>
  <w:style w:type="character" w:styleId="Znakinumeracji" w:customStyle="1">
    <w:name w:val="Znaki numeracji"/>
    <w:qFormat/>
    <w:rsid w:val="00cc53bc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cc53bc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a639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a639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a639c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a639c"/>
    <w:rPr>
      <w:rFonts w:ascii="Tahoma" w:hAnsi="Tahoma"/>
      <w:sz w:val="16"/>
      <w:szCs w:val="16"/>
    </w:rPr>
  </w:style>
  <w:style w:type="paragraph" w:styleId="Nagwek" w:customStyle="1">
    <w:name w:val="Nagłówek"/>
    <w:basedOn w:val="Standard"/>
    <w:next w:val="Textbody"/>
    <w:qFormat/>
    <w:rsid w:val="00cc53bc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cc53bc"/>
    <w:pPr/>
    <w:rPr>
      <w:rFonts w:cs="Lucida Sans"/>
    </w:rPr>
  </w:style>
  <w:style w:type="paragraph" w:styleId="Caption" w:customStyle="1">
    <w:name w:val="Caption"/>
    <w:basedOn w:val="Standard"/>
    <w:qFormat/>
    <w:rsid w:val="00cc53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cc53bc"/>
    <w:pPr>
      <w:suppressLineNumbers/>
    </w:pPr>
    <w:rPr>
      <w:rFonts w:cs="Lucida Sans"/>
    </w:rPr>
  </w:style>
  <w:style w:type="paragraph" w:styleId="Standard" w:customStyle="1">
    <w:name w:val="Standard"/>
    <w:qFormat/>
    <w:rsid w:val="00cc53bc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pl-PL" w:bidi="ar-SA"/>
    </w:rPr>
  </w:style>
  <w:style w:type="paragraph" w:styleId="Textbody" w:customStyle="1">
    <w:name w:val="Text body"/>
    <w:basedOn w:val="Standard"/>
    <w:qFormat/>
    <w:rsid w:val="00cc53bc"/>
    <w:pPr>
      <w:spacing w:before="0" w:after="120"/>
    </w:pPr>
    <w:rPr/>
  </w:style>
  <w:style w:type="paragraph" w:styleId="ListParagraph">
    <w:name w:val="List Paragraph"/>
    <w:basedOn w:val="Standard"/>
    <w:uiPriority w:val="34"/>
    <w:qFormat/>
    <w:rsid w:val="00cc53bc"/>
    <w:pPr>
      <w:ind w:left="720" w:hanging="0"/>
    </w:pPr>
    <w:rPr/>
  </w:style>
  <w:style w:type="paragraph" w:styleId="NormalWeb">
    <w:name w:val="Normal (Web)"/>
    <w:basedOn w:val="Standard"/>
    <w:qFormat/>
    <w:rsid w:val="00cc53bc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Standard"/>
    <w:rsid w:val="00cc53bc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cc53b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c7749"/>
    <w:pPr>
      <w:widowControl/>
      <w:suppressAutoHyphens w:val="false"/>
      <w:bidi w:val="0"/>
      <w:spacing w:lineRule="auto" w:line="240" w:before="0" w:after="0"/>
      <w:jc w:val="left"/>
      <w:textAlignment w:val="auto"/>
    </w:pPr>
    <w:rPr>
      <w:rFonts w:ascii="Calibri" w:hAnsi="Calibri" w:eastAsia="SimSun" w:cs="Calibri"/>
      <w:color w:val="000000"/>
      <w:kern w:val="0"/>
      <w:sz w:val="24"/>
      <w:szCs w:val="24"/>
      <w:lang w:val="pl-PL" w:eastAsia="pl-PL" w:bidi="ar-SA"/>
    </w:rPr>
  </w:style>
  <w:style w:type="paragraph" w:styleId="Ola2" w:customStyle="1">
    <w:name w:val="ola2"/>
    <w:basedOn w:val="Normal"/>
    <w:qFormat/>
    <w:rsid w:val="008c7749"/>
    <w:pPr>
      <w:widowControl/>
      <w:suppressAutoHyphens w:val="false"/>
      <w:overflowPunct w:val="false"/>
      <w:spacing w:lineRule="atLeast" w:line="340" w:before="0" w:after="0"/>
      <w:ind w:left="284" w:hanging="0"/>
      <w:jc w:val="both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a639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a639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a639c"/>
    <w:pPr>
      <w:spacing w:lineRule="auto" w:line="240" w:before="0" w:after="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LibreOffice/6.4.7.2$Linux_X86_64 LibreOffice_project/40$Build-2</Application>
  <Pages>11</Pages>
  <Words>2129</Words>
  <Characters>13756</Characters>
  <CharactersWithSpaces>15639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2022-05-10T19:08:00Z</dcterms:created>
  <dc:creator/>
  <dc:description/>
  <dc:language>pl-PL</dc:language>
  <cp:lastModifiedBy/>
  <dcterms:modified xsi:type="dcterms:W3CDTF">2022-10-02T22:07:37Z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